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jc w:val="center"/>
      </w:pPr>
      <w:r>
        <w:rPr>
          <w:rFonts w:hint="eastAsia"/>
        </w:rPr>
        <w:drawing>
          <wp:inline distT="0" distB="0" distL="114300" distR="114300">
            <wp:extent cx="1327150" cy="1155065"/>
            <wp:effectExtent l="0" t="0" r="0" b="3175"/>
            <wp:docPr id="6" name="图片 6" descr="微信图片_20240306220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240306220452"/>
                    <pic:cNvPicPr>
                      <a:picLocks noChangeAspect="1"/>
                    </pic:cNvPicPr>
                  </pic:nvPicPr>
                  <pic:blipFill>
                    <a:blip r:embed="rId4"/>
                    <a:srcRect l="27656" t="24479" r="25781" b="34987"/>
                    <a:stretch>
                      <a:fillRect/>
                    </a:stretch>
                  </pic:blipFill>
                  <pic:spPr>
                    <a:xfrm>
                      <a:off x="0" y="0"/>
                      <a:ext cx="132715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jc w:val="center"/>
      </w:pPr>
      <w:r>
        <w:rPr>
          <w:rFonts w:hint="eastAsia"/>
        </w:rPr>
        <w:t>昆玉职业技术学院</w:t>
      </w:r>
    </w:p>
    <w:p>
      <w:pPr>
        <w:jc w:val="center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drawing>
          <wp:inline distT="0" distB="0" distL="114300" distR="114300">
            <wp:extent cx="5830570" cy="3295650"/>
            <wp:effectExtent l="0" t="0" r="0" b="0"/>
            <wp:docPr id="5" name="图片 5" descr="微信图片_20240306213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40306213438"/>
                    <pic:cNvPicPr>
                      <a:picLocks noChangeAspect="1"/>
                    </pic:cNvPicPr>
                  </pic:nvPicPr>
                  <pic:blipFill>
                    <a:blip r:embed="rId5"/>
                    <a:srcRect t="10328" b="9645"/>
                    <a:stretch>
                      <a:fillRect/>
                    </a:stretch>
                  </pic:blipFill>
                  <pic:spPr>
                    <a:xfrm>
                      <a:off x="0" y="0"/>
                      <a:ext cx="5884580" cy="3326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</w:pPr>
      <w:r>
        <w:rPr>
          <w:rFonts w:hint="eastAsia"/>
        </w:rPr>
        <w:t>机电一体化技术专业</w:t>
      </w:r>
    </w:p>
    <w:p>
      <w:pPr>
        <w:pStyle w:val="6"/>
      </w:pPr>
      <w:r>
        <w:rPr>
          <w:rFonts w:hint="eastAsia"/>
        </w:rPr>
        <w:t>专业简介</w:t>
      </w:r>
    </w:p>
    <w:p>
      <w:pPr>
        <w:pStyle w:val="7"/>
        <w:spacing w:line="360" w:lineRule="auto"/>
        <w:ind w:firstLine="560"/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cs="仿宋_GB2312"/>
          <w:sz w:val="28"/>
          <w:szCs w:val="28"/>
        </w:rPr>
        <w:t>机电一体化技术专业，专业代码：</w:t>
      </w:r>
      <w:r>
        <w:rPr>
          <w:rFonts w:ascii="仿宋_GB2312" w:hAnsi="仿宋_GB2312" w:cs="仿宋_GB2312"/>
          <w:sz w:val="28"/>
          <w:szCs w:val="28"/>
        </w:rPr>
        <w:t>460301</w:t>
      </w:r>
      <w:r>
        <w:rPr>
          <w:rFonts w:hint="eastAsia" w:ascii="仿宋_GB2312" w:hAnsi="仿宋_GB2312" w:cs="仿宋_GB2312"/>
          <w:sz w:val="28"/>
          <w:szCs w:val="28"/>
          <w:lang w:eastAsia="zh-CN"/>
        </w:rPr>
        <w:t>，</w:t>
      </w:r>
      <w:r>
        <w:rPr>
          <w:rFonts w:hint="eastAsia" w:ascii="仿宋_GB2312" w:hAnsi="仿宋_GB2312" w:cs="仿宋_GB2312"/>
          <w:sz w:val="28"/>
          <w:szCs w:val="28"/>
          <w:lang w:val="en-US" w:eastAsia="zh-CN"/>
        </w:rPr>
        <w:t>学制：三年。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机电一体化技术专业是一门结合了机械、电子、电气、计算机等多学科知识的专业。它主要培养具备机电一体化系统设计、安装、调试、维护和管理等能力的技术人才。</w:t>
      </w:r>
    </w:p>
    <w:p>
      <w:pPr>
        <w:pStyle w:val="6"/>
      </w:pPr>
      <w:r>
        <w:rPr>
          <w:rFonts w:hint="eastAsia"/>
        </w:rPr>
        <w:t>培养目标定位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1、就业前景广阔：随着工业自动化水平的提高，机电一体化专业的就业前景非常广阔。毕业生可以在制造业、机械设备公司、自动化公司、电力公司等领域找到稳定的就业机会。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2、技能竞争力强：该专业毕业生的技能和知识结合了机械和电气方面的双重优势，更具竞争力，就业机会也较为丰富。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ascii="仿宋_GB2312" w:hAnsi="仿宋_GB2312" w:cs="仿宋_GB2312"/>
          <w:sz w:val="28"/>
          <w:szCs w:val="28"/>
        </w:rPr>
        <w:t>3</w:t>
      </w:r>
      <w:r>
        <w:rPr>
          <w:rFonts w:hint="eastAsia" w:ascii="仿宋_GB2312" w:hAnsi="仿宋_GB2312" w:cs="仿宋_GB2312"/>
          <w:sz w:val="28"/>
          <w:szCs w:val="28"/>
        </w:rPr>
        <w:t>、发展空间较好：机电一体化技术人才的巨大需求，学院申请设置机电一体化技术专业符合兵团、南疆机电一体化产业发展的需要，也符合机电一体化产业对高素质技能型人才的需要。总体而言，机电一体化专业就业前景较好，并且有很好的发展空间。</w:t>
      </w:r>
    </w:p>
    <w:p>
      <w:pPr>
        <w:pStyle w:val="6"/>
      </w:pPr>
      <w:r>
        <w:rPr>
          <w:rFonts w:hint="eastAsia"/>
        </w:rPr>
        <w:t>主要开设课程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  <w:highlight w:val="yellow"/>
        </w:rPr>
      </w:pPr>
      <w:r>
        <w:rPr>
          <w:rFonts w:hint="eastAsia" w:ascii="仿宋_GB2312" w:hAnsi="仿宋_GB2312" w:cs="仿宋_GB2312"/>
          <w:sz w:val="28"/>
          <w:szCs w:val="28"/>
        </w:rPr>
        <w:t>专业基础课程设置</w:t>
      </w:r>
      <w:r>
        <w:rPr>
          <w:rFonts w:ascii="Times New Roman" w:hAnsi="Times New Roman" w:cs="Times New Roman"/>
          <w:sz w:val="28"/>
          <w:szCs w:val="28"/>
        </w:rPr>
        <w:t>7</w:t>
      </w:r>
      <w:r>
        <w:rPr>
          <w:rFonts w:hint="eastAsia" w:ascii="仿宋_GB2312" w:hAnsi="仿宋_GB2312" w:cs="仿宋_GB2312"/>
          <w:sz w:val="28"/>
          <w:szCs w:val="28"/>
        </w:rPr>
        <w:t>门，包括:机电一体化概论、机械制图与计算机绘图、电工仪表与测量、机械基础、电工基本技能、电工与电子技术、液压与气动技术。</w:t>
      </w:r>
    </w:p>
    <w:p>
      <w:pPr>
        <w:pStyle w:val="7"/>
        <w:spacing w:line="360" w:lineRule="auto"/>
        <w:ind w:firstLine="560"/>
        <w:rPr>
          <w:rFonts w:hint="eastAsia"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专业核心课程设置</w:t>
      </w:r>
      <w:r>
        <w:rPr>
          <w:rFonts w:ascii="Times New Roman" w:hAnsi="Times New Roman" w:cs="Times New Roman"/>
          <w:sz w:val="28"/>
          <w:szCs w:val="28"/>
        </w:rPr>
        <w:t>6</w:t>
      </w:r>
      <w:r>
        <w:rPr>
          <w:rFonts w:hint="eastAsia" w:ascii="仿宋_GB2312" w:hAnsi="仿宋_GB2312" w:cs="仿宋_GB2312"/>
          <w:sz w:val="28"/>
          <w:szCs w:val="28"/>
        </w:rPr>
        <w:t>门，包括:电气控制与</w:t>
      </w:r>
      <w:r>
        <w:rPr>
          <w:rFonts w:ascii="Times New Roman" w:hAnsi="Times New Roman" w:cs="Times New Roman"/>
          <w:sz w:val="28"/>
          <w:szCs w:val="28"/>
        </w:rPr>
        <w:t>PLC</w:t>
      </w:r>
      <w:r>
        <w:rPr>
          <w:rFonts w:hint="eastAsia" w:ascii="仿宋_GB2312" w:hAnsi="仿宋_GB2312" w:cs="仿宋_GB2312"/>
          <w:sz w:val="28"/>
          <w:szCs w:val="28"/>
        </w:rPr>
        <w:t>技术基础、传感器与检测技术、单片机技术及应用、机电设备故障诊断与维修、工业机器人技术应用、工厂供配电技术。</w:t>
      </w:r>
    </w:p>
    <w:p>
      <w:pPr>
        <w:pStyle w:val="6"/>
      </w:pPr>
      <w:r>
        <w:rPr>
          <w:rFonts w:hint="eastAsia"/>
        </w:rPr>
        <w:t>专业优势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本专业培养德智体美劳全面发展，掌握扎实的科学文化基础和机电设备与自动化生产线安装调试、故障处理、运行维护及相关法律法规等知识，具备机电设备和自动化生产线装配、调试、维护、技改等能力，具有工匠精神和信息素养，能够从事机电设备和自动化生产线安装与调试、运行与维修、改造与升级等工作的高素质技术技能人才。</w:t>
      </w:r>
    </w:p>
    <w:p>
      <w:pPr>
        <w:pStyle w:val="6"/>
      </w:pPr>
      <w:r>
        <w:rPr>
          <w:rFonts w:hint="eastAsia"/>
        </w:rPr>
        <w:t>就业方</w:t>
      </w:r>
      <w:bookmarkStart w:id="0" w:name="_GoBack"/>
      <w:bookmarkEnd w:id="0"/>
      <w:r>
        <w:rPr>
          <w:rFonts w:hint="eastAsia"/>
        </w:rPr>
        <w:t>向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本专业主要面向机械设计工程技术人员、自动控制工程技术人员、机械制造工程技术人员等职业，机电设备和自动化生产线安装与调试、运行与维修、改造与升级等岗位（群）。</w:t>
      </w:r>
    </w:p>
    <w:tbl>
      <w:tblPr>
        <w:tblStyle w:val="12"/>
        <w:tblpPr w:leftFromText="180" w:rightFromText="180" w:vertAnchor="text" w:horzAnchor="page" w:tblpX="1905" w:tblpY="673"/>
        <w:tblOverlap w:val="never"/>
        <w:tblW w:w="82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1084"/>
        <w:gridCol w:w="1361"/>
        <w:gridCol w:w="1624"/>
        <w:gridCol w:w="33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  <w:vAlign w:val="center"/>
          </w:tcPr>
          <w:p>
            <w:pPr>
              <w:pStyle w:val="20"/>
              <w:spacing w:line="360" w:lineRule="auto"/>
              <w:jc w:val="center"/>
              <w:rPr>
                <w:rStyle w:val="19"/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所属专业大类</w:t>
            </w:r>
          </w:p>
        </w:tc>
        <w:tc>
          <w:tcPr>
            <w:tcW w:w="1084" w:type="dxa"/>
            <w:vAlign w:val="center"/>
          </w:tcPr>
          <w:p>
            <w:pPr>
              <w:pStyle w:val="20"/>
              <w:spacing w:line="360" w:lineRule="auto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所属</w:t>
            </w:r>
          </w:p>
          <w:p>
            <w:pPr>
              <w:pStyle w:val="20"/>
              <w:spacing w:line="360" w:lineRule="auto"/>
              <w:jc w:val="center"/>
              <w:rPr>
                <w:rStyle w:val="19"/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专业类</w:t>
            </w:r>
          </w:p>
        </w:tc>
        <w:tc>
          <w:tcPr>
            <w:tcW w:w="1361" w:type="dxa"/>
            <w:vAlign w:val="center"/>
          </w:tcPr>
          <w:p>
            <w:pPr>
              <w:pStyle w:val="20"/>
              <w:spacing w:line="360" w:lineRule="auto"/>
              <w:jc w:val="center"/>
              <w:rPr>
                <w:rStyle w:val="19"/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对应行业</w:t>
            </w:r>
          </w:p>
        </w:tc>
        <w:tc>
          <w:tcPr>
            <w:tcW w:w="1624" w:type="dxa"/>
            <w:vAlign w:val="center"/>
          </w:tcPr>
          <w:p>
            <w:pPr>
              <w:pStyle w:val="20"/>
              <w:spacing w:line="360" w:lineRule="auto"/>
              <w:jc w:val="center"/>
              <w:rPr>
                <w:rStyle w:val="19"/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主要职业类别</w:t>
            </w:r>
          </w:p>
        </w:tc>
        <w:tc>
          <w:tcPr>
            <w:tcW w:w="3305" w:type="dxa"/>
            <w:vAlign w:val="center"/>
          </w:tcPr>
          <w:p>
            <w:pPr>
              <w:pStyle w:val="20"/>
              <w:spacing w:line="360" w:lineRule="auto"/>
              <w:jc w:val="center"/>
              <w:rPr>
                <w:rStyle w:val="19"/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</w:rPr>
              <w:t>主要岗位群或技术领域举例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4" w:hRule="atLeast"/>
        </w:trPr>
        <w:tc>
          <w:tcPr>
            <w:tcW w:w="846" w:type="dxa"/>
            <w:vAlign w:val="center"/>
          </w:tcPr>
          <w:p>
            <w:pPr>
              <w:pStyle w:val="20"/>
              <w:spacing w:line="360" w:lineRule="auto"/>
              <w:jc w:val="center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装备制造大类</w:t>
            </w:r>
          </w:p>
          <w:p>
            <w:pPr>
              <w:pStyle w:val="20"/>
              <w:spacing w:line="360" w:lineRule="auto"/>
              <w:jc w:val="center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（</w:t>
            </w:r>
            <w:r>
              <w:rPr>
                <w:rFonts w:hint="eastAsia" w:eastAsia="仿宋_GB2312"/>
                <w:lang w:bidi="ar"/>
              </w:rPr>
              <w:t>46</w:t>
            </w:r>
            <w:r>
              <w:rPr>
                <w:rFonts w:hint="eastAsia" w:ascii="仿宋_GB2312" w:hAnsi="仿宋_GB2312" w:eastAsia="仿宋_GB2312" w:cs="仿宋_GB2312"/>
                <w:lang w:bidi="ar"/>
              </w:rPr>
              <w:t>）</w:t>
            </w:r>
          </w:p>
        </w:tc>
        <w:tc>
          <w:tcPr>
            <w:tcW w:w="1084" w:type="dxa"/>
            <w:vAlign w:val="center"/>
          </w:tcPr>
          <w:p>
            <w:pPr>
              <w:pStyle w:val="20"/>
              <w:spacing w:line="360" w:lineRule="auto"/>
              <w:jc w:val="center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自动化</w:t>
            </w:r>
            <w:r>
              <w:rPr>
                <w:rFonts w:hint="eastAsia" w:ascii="仿宋_GB2312" w:hAnsi="仿宋_GB2312" w:eastAsia="仿宋_GB2312" w:cs="仿宋_GB2312"/>
              </w:rPr>
              <w:t>类</w:t>
            </w:r>
          </w:p>
          <w:p>
            <w:pPr>
              <w:pStyle w:val="20"/>
              <w:spacing w:line="360" w:lineRule="auto"/>
              <w:jc w:val="center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（</w:t>
            </w:r>
            <w:r>
              <w:rPr>
                <w:rFonts w:eastAsia="仿宋_GB2312"/>
                <w:lang w:bidi="ar"/>
              </w:rPr>
              <w:t>4603</w:t>
            </w:r>
            <w:r>
              <w:rPr>
                <w:rFonts w:hint="eastAsia" w:ascii="仿宋_GB2312" w:hAnsi="仿宋_GB2312" w:eastAsia="仿宋_GB2312" w:cs="仿宋_GB2312"/>
                <w:lang w:bidi="ar"/>
              </w:rPr>
              <w:t>）</w:t>
            </w:r>
          </w:p>
        </w:tc>
        <w:tc>
          <w:tcPr>
            <w:tcW w:w="1361" w:type="dxa"/>
            <w:vAlign w:val="center"/>
          </w:tcPr>
          <w:p>
            <w:pPr>
              <w:pStyle w:val="20"/>
              <w:spacing w:line="360" w:lineRule="auto"/>
              <w:jc w:val="center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通用设备制造业（</w:t>
            </w:r>
            <w:r>
              <w:rPr>
                <w:rFonts w:hint="eastAsia" w:eastAsia="仿宋_GB2312"/>
                <w:lang w:bidi="ar"/>
              </w:rPr>
              <w:t>34</w:t>
            </w:r>
            <w:r>
              <w:rPr>
                <w:rFonts w:hint="eastAsia" w:ascii="仿宋_GB2312" w:hAnsi="仿宋_GB2312" w:eastAsia="仿宋_GB2312" w:cs="仿宋_GB2312"/>
                <w:lang w:bidi="ar"/>
              </w:rPr>
              <w:t>）</w:t>
            </w:r>
          </w:p>
          <w:p>
            <w:pPr>
              <w:pStyle w:val="20"/>
              <w:spacing w:line="360" w:lineRule="auto"/>
              <w:jc w:val="center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金属制品、机械和设备修理业（</w:t>
            </w:r>
            <w:r>
              <w:rPr>
                <w:rFonts w:hint="eastAsia" w:eastAsia="仿宋_GB2312"/>
                <w:lang w:bidi="ar"/>
              </w:rPr>
              <w:t>43</w:t>
            </w:r>
            <w:r>
              <w:rPr>
                <w:rFonts w:hint="eastAsia" w:ascii="仿宋_GB2312" w:hAnsi="仿宋_GB2312" w:eastAsia="仿宋_GB2312" w:cs="仿宋_GB2312"/>
                <w:lang w:bidi="ar"/>
              </w:rPr>
              <w:t>）</w:t>
            </w:r>
          </w:p>
        </w:tc>
        <w:tc>
          <w:tcPr>
            <w:tcW w:w="1624" w:type="dxa"/>
            <w:vAlign w:val="center"/>
          </w:tcPr>
          <w:p>
            <w:pPr>
              <w:pStyle w:val="20"/>
              <w:spacing w:line="360" w:lineRule="auto"/>
              <w:jc w:val="left"/>
              <w:rPr>
                <w:rFonts w:ascii="仿宋_GB2312" w:hAnsi="仿宋_GB2312" w:eastAsia="仿宋_GB2312" w:cs="仿宋_GB2312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机械工程技术人员（</w:t>
            </w:r>
            <w:r>
              <w:rPr>
                <w:rFonts w:hint="eastAsia" w:eastAsia="仿宋_GB2312"/>
                <w:lang w:bidi="ar"/>
              </w:rPr>
              <w:t>2-02-07</w:t>
            </w:r>
            <w:r>
              <w:rPr>
                <w:rFonts w:hint="eastAsia" w:ascii="仿宋_GB2312" w:hAnsi="仿宋_GB2312" w:eastAsia="仿宋_GB2312" w:cs="仿宋_GB2312"/>
                <w:lang w:bidi="ar"/>
              </w:rPr>
              <w:t>）</w:t>
            </w:r>
          </w:p>
          <w:p>
            <w:pPr>
              <w:pStyle w:val="20"/>
              <w:spacing w:line="360" w:lineRule="auto"/>
              <w:jc w:val="left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机械设备修理人员（</w:t>
            </w:r>
            <w:r>
              <w:rPr>
                <w:rFonts w:hint="eastAsia" w:eastAsia="仿宋_GB2312"/>
                <w:lang w:bidi="ar"/>
              </w:rPr>
              <w:t>6-31-01</w:t>
            </w:r>
            <w:r>
              <w:rPr>
                <w:rFonts w:hint="eastAsia" w:ascii="仿宋_GB2312" w:hAnsi="仿宋_GB2312" w:eastAsia="仿宋_GB2312" w:cs="仿宋_GB2312"/>
                <w:lang w:bidi="ar"/>
              </w:rPr>
              <w:t>）</w:t>
            </w:r>
          </w:p>
        </w:tc>
        <w:tc>
          <w:tcPr>
            <w:tcW w:w="3305" w:type="dxa"/>
            <w:vAlign w:val="center"/>
          </w:tcPr>
          <w:p>
            <w:pPr>
              <w:pStyle w:val="20"/>
              <w:spacing w:line="360" w:lineRule="auto"/>
              <w:ind w:firstLine="420" w:firstLineChars="200"/>
              <w:jc w:val="left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机电一体化设备维修技术员;</w:t>
            </w:r>
          </w:p>
          <w:p>
            <w:pPr>
              <w:pStyle w:val="20"/>
              <w:spacing w:line="360" w:lineRule="auto"/>
              <w:ind w:firstLine="420" w:firstLineChars="200"/>
              <w:jc w:val="left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自动生产线运维技术员;</w:t>
            </w:r>
          </w:p>
          <w:p>
            <w:pPr>
              <w:pStyle w:val="20"/>
              <w:spacing w:line="360" w:lineRule="auto"/>
              <w:ind w:firstLine="420" w:firstLineChars="200"/>
              <w:jc w:val="left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工业机器人应用技术员;</w:t>
            </w:r>
          </w:p>
          <w:p>
            <w:pPr>
              <w:pStyle w:val="20"/>
              <w:spacing w:line="360" w:lineRule="auto"/>
              <w:ind w:firstLine="420" w:firstLineChars="200"/>
              <w:jc w:val="left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机电一体化设备生产管理员;</w:t>
            </w:r>
          </w:p>
          <w:p>
            <w:pPr>
              <w:pStyle w:val="20"/>
              <w:spacing w:line="360" w:lineRule="auto"/>
              <w:ind w:firstLine="420" w:firstLineChars="200"/>
              <w:jc w:val="left"/>
              <w:rPr>
                <w:rFonts w:ascii="仿宋_GB2312" w:hAnsi="仿宋_GB2312" w:eastAsia="仿宋_GB2312" w:cs="仿宋_GB2312"/>
                <w:lang w:bidi="ar"/>
              </w:rPr>
            </w:pPr>
            <w:r>
              <w:rPr>
                <w:rFonts w:hint="eastAsia" w:ascii="仿宋_GB2312" w:hAnsi="仿宋_GB2312" w:eastAsia="仿宋_GB2312" w:cs="仿宋_GB2312"/>
                <w:lang w:bidi="ar"/>
              </w:rPr>
              <w:t>机电一体化设备安装与调试技术员;</w:t>
            </w:r>
          </w:p>
        </w:tc>
      </w:tr>
    </w:tbl>
    <w:p>
      <w:pPr>
        <w:pStyle w:val="6"/>
      </w:pPr>
      <w:r>
        <w:rPr>
          <w:rFonts w:hint="eastAsia"/>
        </w:rPr>
        <w:t>职业类证书举例</w:t>
      </w:r>
    </w:p>
    <w:tbl>
      <w:tblPr>
        <w:tblStyle w:val="11"/>
        <w:tblW w:w="8044" w:type="dxa"/>
        <w:jc w:val="center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none" w:color="auto" w:sz="0" w:space="0"/>
          <w:insideV w:val="none" w:color="auto" w:sz="0" w:space="0"/>
        </w:tblBorders>
        <w:shd w:val="clear" w:color="auto" w:fill="FFFFFF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984"/>
        <w:gridCol w:w="2353"/>
        <w:gridCol w:w="1984"/>
        <w:gridCol w:w="924"/>
      </w:tblGrid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tblHeader/>
          <w:jc w:val="center"/>
        </w:trPr>
        <w:tc>
          <w:tcPr>
            <w:tcW w:w="799" w:type="dxa"/>
            <w:tcBorders>
              <w:top w:val="single" w:color="auto" w:sz="8" w:space="0"/>
              <w:bottom w:val="single" w:color="auto" w:sz="4" w:space="0"/>
              <w:right w:val="single" w:color="auto" w:sz="4" w:space="0"/>
            </w:tcBorders>
            <w:shd w:val="clear" w:color="auto" w:fill="EEECE1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98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证书名称</w:t>
            </w:r>
          </w:p>
        </w:tc>
        <w:tc>
          <w:tcPr>
            <w:tcW w:w="2353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等级要求</w:t>
            </w:r>
          </w:p>
        </w:tc>
        <w:tc>
          <w:tcPr>
            <w:tcW w:w="198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EEECE1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可替代课程</w:t>
            </w:r>
          </w:p>
        </w:tc>
        <w:tc>
          <w:tcPr>
            <w:tcW w:w="924" w:type="dxa"/>
            <w:tcBorders>
              <w:top w:val="single" w:color="auto" w:sz="8" w:space="0"/>
              <w:left w:val="single" w:color="auto" w:sz="4" w:space="0"/>
              <w:bottom w:val="single" w:color="auto" w:sz="4" w:space="0"/>
            </w:tcBorders>
            <w:shd w:val="clear" w:color="auto" w:fill="EEECE1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b/>
                <w:bCs/>
                <w:color w:val="000000" w:themeColor="text1"/>
                <w:sz w:val="24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exact"/>
          <w:jc w:val="center"/>
        </w:trPr>
        <w:tc>
          <w:tcPr>
            <w:tcW w:w="7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计算机一级证书</w:t>
            </w:r>
          </w:p>
        </w:tc>
        <w:tc>
          <w:tcPr>
            <w:tcW w:w="2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合格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计算机应用基础</w:t>
            </w: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必考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6" w:hRule="exact"/>
          <w:jc w:val="center"/>
        </w:trPr>
        <w:tc>
          <w:tcPr>
            <w:tcW w:w="7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电工中级工证书</w:t>
            </w:r>
          </w:p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中级工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电气控制技术</w:t>
            </w: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必考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6" w:hRule="exact"/>
          <w:jc w:val="center"/>
        </w:trPr>
        <w:tc>
          <w:tcPr>
            <w:tcW w:w="7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可编程控制器系统应用1+X证书</w:t>
            </w:r>
          </w:p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中级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可编程控制器系统应用</w:t>
            </w: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必考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  <w:jc w:val="center"/>
        </w:trPr>
        <w:tc>
          <w:tcPr>
            <w:tcW w:w="7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普通话水平测试等级证书</w:t>
            </w:r>
          </w:p>
        </w:tc>
        <w:tc>
          <w:tcPr>
            <w:tcW w:w="2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普通话二级乙等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语文</w:t>
            </w: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shd w:val="clear" w:color="auto" w:fill="FFFFFF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  <w:jc w:val="center"/>
        </w:trPr>
        <w:tc>
          <w:tcPr>
            <w:tcW w:w="7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CAD证书</w:t>
            </w:r>
          </w:p>
        </w:tc>
        <w:tc>
          <w:tcPr>
            <w:tcW w:w="2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中级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电气CAD技术</w:t>
            </w: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选考</w:t>
            </w:r>
          </w:p>
        </w:tc>
      </w:tr>
      <w:tr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1" w:hRule="exact"/>
          <w:jc w:val="center"/>
        </w:trPr>
        <w:tc>
          <w:tcPr>
            <w:tcW w:w="799" w:type="dxa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无人机1+X证书</w:t>
            </w:r>
          </w:p>
        </w:tc>
        <w:tc>
          <w:tcPr>
            <w:tcW w:w="235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中级</w:t>
            </w:r>
          </w:p>
        </w:tc>
        <w:tc>
          <w:tcPr>
            <w:tcW w:w="19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FFFFFF"/>
            <w:vAlign w:val="center"/>
          </w:tcPr>
          <w:p>
            <w:pPr>
              <w:snapToGrid w:val="0"/>
              <w:spacing w:line="400" w:lineRule="exact"/>
              <w:jc w:val="center"/>
              <w:rPr>
                <w:rFonts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方正仿宋简体" w:eastAsia="方正仿宋简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选考</w:t>
            </w:r>
          </w:p>
        </w:tc>
      </w:tr>
    </w:tbl>
    <w:p>
      <w:pPr>
        <w:rPr>
          <w:rFonts w:asciiTheme="minorEastAsia" w:hAnsiTheme="minorEastAsia" w:cstheme="minorEastAsia"/>
          <w:sz w:val="24"/>
        </w:rPr>
      </w:pPr>
    </w:p>
    <w:p>
      <w:pPr>
        <w:pStyle w:val="6"/>
      </w:pPr>
      <w:r>
        <w:rPr>
          <w:rFonts w:hint="eastAsia"/>
        </w:rPr>
        <w:t>接续专业举例</w:t>
      </w:r>
    </w:p>
    <w:p>
      <w:pPr>
        <w:pStyle w:val="7"/>
        <w:spacing w:line="360" w:lineRule="auto"/>
        <w:ind w:firstLine="560"/>
        <w:rPr>
          <w:rFonts w:ascii="仿宋_GB2312" w:hAnsi="仿宋_GB2312" w:cs="仿宋_GB2312"/>
          <w:sz w:val="28"/>
          <w:szCs w:val="28"/>
        </w:rPr>
      </w:pPr>
      <w:r>
        <w:rPr>
          <w:rFonts w:hint="eastAsia" w:ascii="仿宋_GB2312" w:hAnsi="仿宋_GB2312" w:cs="仿宋_GB2312"/>
          <w:sz w:val="28"/>
          <w:szCs w:val="28"/>
        </w:rPr>
        <w:t>机电一体化技术专业可以接续的本科专业有：机械电子工程、自动化、电气工程及其自动化、智能制造工程、机械设计制造及其自动化等。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ljNzMwZDBiZTY0MjViN2RjOWRkMzAwNmE4MzQ0ZWQifQ=="/>
  </w:docVars>
  <w:rsids>
    <w:rsidRoot w:val="0D771A52"/>
    <w:rsid w:val="00681F3F"/>
    <w:rsid w:val="007768D9"/>
    <w:rsid w:val="00AE04E8"/>
    <w:rsid w:val="00B57A2D"/>
    <w:rsid w:val="00CE5D41"/>
    <w:rsid w:val="00D66904"/>
    <w:rsid w:val="00DA5AC2"/>
    <w:rsid w:val="00F64E06"/>
    <w:rsid w:val="0D771A52"/>
    <w:rsid w:val="78461060"/>
    <w:rsid w:val="78487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3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4"/>
    <w:basedOn w:val="1"/>
    <w:next w:val="1"/>
    <w:link w:val="15"/>
    <w:unhideWhenUsed/>
    <w:qFormat/>
    <w:uiPriority w:val="0"/>
    <w:pPr>
      <w:keepNext/>
      <w:keepLines/>
      <w:spacing w:before="280" w:after="29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3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BodyText1I2"/>
    <w:basedOn w:val="3"/>
    <w:next w:val="1"/>
    <w:autoRedefine/>
    <w:qFormat/>
    <w:uiPriority w:val="0"/>
    <w:pPr>
      <w:ind w:firstLine="420" w:firstLineChars="200"/>
    </w:pPr>
    <w:rPr>
      <w:rFonts w:ascii="仿宋_GB2312" w:eastAsia="仿宋_GB2312"/>
      <w:color w:val="000000"/>
      <w:sz w:val="32"/>
    </w:rPr>
  </w:style>
  <w:style w:type="paragraph" w:customStyle="1" w:styleId="3">
    <w:name w:val="BodyTextIndent"/>
    <w:basedOn w:val="1"/>
    <w:semiHidden/>
    <w:qFormat/>
    <w:uiPriority w:val="0"/>
    <w:pPr>
      <w:spacing w:after="120"/>
      <w:ind w:left="420" w:leftChars="200"/>
    </w:pPr>
    <w:rPr>
      <w:kern w:val="0"/>
      <w:sz w:val="20"/>
    </w:rPr>
  </w:style>
  <w:style w:type="paragraph" w:styleId="7">
    <w:name w:val="Body Text"/>
    <w:basedOn w:val="1"/>
    <w:link w:val="18"/>
    <w:qFormat/>
    <w:uiPriority w:val="0"/>
    <w:pPr>
      <w:spacing w:line="560" w:lineRule="exact"/>
      <w:ind w:firstLine="200" w:firstLineChars="200"/>
    </w:pPr>
    <w:rPr>
      <w:rFonts w:eastAsia="仿宋_GB2312"/>
      <w:sz w:val="32"/>
    </w:rPr>
  </w:style>
  <w:style w:type="paragraph" w:styleId="8">
    <w:name w:val="footer"/>
    <w:basedOn w:val="1"/>
    <w:link w:val="17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6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qFormat/>
    <w:uiPriority w:val="0"/>
    <w:rPr>
      <w:b/>
    </w:rPr>
  </w:style>
  <w:style w:type="character" w:customStyle="1" w:styleId="15">
    <w:name w:val="标题 4 字符"/>
    <w:link w:val="6"/>
    <w:uiPriority w:val="0"/>
    <w:rPr>
      <w:rFonts w:ascii="Arial" w:hAnsi="Arial" w:eastAsia="黑体"/>
      <w:b/>
      <w:sz w:val="28"/>
    </w:rPr>
  </w:style>
  <w:style w:type="character" w:customStyle="1" w:styleId="16">
    <w:name w:val="页眉 字符"/>
    <w:basedOn w:val="13"/>
    <w:link w:val="9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字符"/>
    <w:basedOn w:val="13"/>
    <w:link w:val="8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正文文本 字符"/>
    <w:basedOn w:val="13"/>
    <w:link w:val="7"/>
    <w:qFormat/>
    <w:uiPriority w:val="0"/>
    <w:rPr>
      <w:rFonts w:eastAsia="仿宋_GB2312" w:asciiTheme="minorHAnsi" w:hAnsiTheme="minorHAnsi" w:cstheme="minorBidi"/>
      <w:kern w:val="2"/>
      <w:sz w:val="32"/>
      <w:szCs w:val="24"/>
    </w:rPr>
  </w:style>
  <w:style w:type="character" w:customStyle="1" w:styleId="19">
    <w:name w:val="apple-converted-space"/>
    <w:basedOn w:val="13"/>
    <w:qFormat/>
    <w:uiPriority w:val="0"/>
  </w:style>
  <w:style w:type="paragraph" w:customStyle="1" w:styleId="20">
    <w:name w:val="表格内容"/>
    <w:basedOn w:val="1"/>
    <w:qFormat/>
    <w:uiPriority w:val="0"/>
    <w:pPr>
      <w:spacing w:line="320" w:lineRule="exact"/>
      <w:outlineLvl w:val="2"/>
    </w:pPr>
    <w:rPr>
      <w:rFonts w:ascii="Times New Roman" w:hAnsi="Times New Roman" w:eastAsia="宋体" w:cs="Times New Roman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185</Words>
  <Characters>1056</Characters>
  <Lines>8</Lines>
  <Paragraphs>2</Paragraphs>
  <TotalTime>1</TotalTime>
  <ScaleCrop>false</ScaleCrop>
  <LinksUpToDate>false</LinksUpToDate>
  <CharactersWithSpaces>1239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2024-03-07T05:22:00Z</dcterms:created>
  <dc:creator>徐先生</dc:creator>
  <cp:lastModifiedBy>青青</cp:lastModifiedBy>
  <dcterms:modified xsi:type="dcterms:W3CDTF">2024-03-21T15:01:31Z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4338023041D04BD3A1B1013365290F5A_11</vt:lpwstr>
  </property>
</Properties>
</file>